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C7" w:rsidRDefault="00BF10C7" w:rsidP="00BF10C7">
      <w:pPr>
        <w:tabs>
          <w:tab w:val="left" w:pos="5739"/>
        </w:tabs>
        <w:jc w:val="center"/>
      </w:pPr>
    </w:p>
    <w:p w:rsidR="00BF10C7" w:rsidRDefault="00BF10C7" w:rsidP="00BF10C7">
      <w:pPr>
        <w:tabs>
          <w:tab w:val="left" w:pos="5739"/>
        </w:tabs>
        <w:jc w:val="center"/>
      </w:pPr>
    </w:p>
    <w:p w:rsidR="00BF10C7" w:rsidRDefault="00B40933" w:rsidP="00BF10C7">
      <w:pPr>
        <w:tabs>
          <w:tab w:val="left" w:pos="5739"/>
        </w:tabs>
        <w:jc w:val="center"/>
      </w:pPr>
      <w:r w:rsidRPr="0076161C">
        <w:rPr>
          <w:noProof/>
          <w:lang w:eastAsia="de-DE"/>
        </w:rPr>
        <w:drawing>
          <wp:inline distT="0" distB="0" distL="0" distR="0" wp14:anchorId="07825DDB" wp14:editId="2F574F03">
            <wp:extent cx="6645910" cy="3738880"/>
            <wp:effectExtent l="0" t="0" r="2540" b="0"/>
            <wp:docPr id="2" name="Grafik 2" descr="L:\Marketing\04_Power Quality Mobil\Bilder\PQ-Box 200\PQ-Box 200_real_links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Marketing\04_Power Quality Mobil\Bilder\PQ-Box 200\PQ-Box 200_real_links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C7" w:rsidRDefault="00BF10C7" w:rsidP="00BF10C7">
      <w:pPr>
        <w:jc w:val="center"/>
      </w:pPr>
    </w:p>
    <w:p w:rsidR="00B40933" w:rsidRDefault="00B40933" w:rsidP="00BF10C7">
      <w:pPr>
        <w:jc w:val="center"/>
      </w:pPr>
    </w:p>
    <w:p w:rsidR="00BF10C7" w:rsidRPr="0010281B" w:rsidRDefault="00BF10C7" w:rsidP="00BF10C7">
      <w:pPr>
        <w:jc w:val="center"/>
        <w:rPr>
          <w:sz w:val="72"/>
        </w:rPr>
      </w:pPr>
      <w:r w:rsidRPr="0010281B">
        <w:rPr>
          <w:sz w:val="72"/>
        </w:rPr>
        <w:t xml:space="preserve">PQ-Box </w:t>
      </w:r>
      <w:r w:rsidR="00B40933">
        <w:rPr>
          <w:sz w:val="72"/>
        </w:rPr>
        <w:t>20</w:t>
      </w:r>
      <w:r w:rsidRPr="0010281B">
        <w:rPr>
          <w:sz w:val="72"/>
        </w:rPr>
        <w:t>0</w:t>
      </w:r>
    </w:p>
    <w:p w:rsidR="00BF10C7" w:rsidRPr="00824EDD" w:rsidRDefault="00BF10C7" w:rsidP="00BF10C7">
      <w:pPr>
        <w:jc w:val="center"/>
        <w:rPr>
          <w:sz w:val="32"/>
        </w:rPr>
      </w:pPr>
      <w:r>
        <w:rPr>
          <w:sz w:val="32"/>
        </w:rPr>
        <w:t xml:space="preserve">Technical </w:t>
      </w:r>
      <w:proofErr w:type="spellStart"/>
      <w:r>
        <w:rPr>
          <w:sz w:val="32"/>
        </w:rPr>
        <w:t>S</w:t>
      </w:r>
      <w:r w:rsidRPr="00824EDD">
        <w:rPr>
          <w:sz w:val="32"/>
        </w:rPr>
        <w:t>pecification</w:t>
      </w:r>
      <w:proofErr w:type="spellEnd"/>
    </w:p>
    <w:p w:rsidR="00BF10C7" w:rsidRDefault="00BF10C7" w:rsidP="00BF10C7">
      <w:pPr>
        <w:jc w:val="center"/>
        <w:rPr>
          <w:sz w:val="32"/>
        </w:rPr>
      </w:pPr>
      <w:r w:rsidRPr="00824EDD">
        <w:rPr>
          <w:sz w:val="32"/>
        </w:rPr>
        <w:t xml:space="preserve">Mobile Power-Quality </w:t>
      </w:r>
      <w:proofErr w:type="spellStart"/>
      <w:r w:rsidRPr="00824EDD">
        <w:rPr>
          <w:sz w:val="32"/>
        </w:rPr>
        <w:t>Analyser</w:t>
      </w:r>
      <w:proofErr w:type="spellEnd"/>
      <w:r w:rsidRPr="00824EDD">
        <w:rPr>
          <w:sz w:val="32"/>
        </w:rPr>
        <w:t xml:space="preserve"> </w:t>
      </w:r>
      <w:proofErr w:type="spellStart"/>
      <w:r w:rsidRPr="00824EDD">
        <w:rPr>
          <w:sz w:val="32"/>
        </w:rPr>
        <w:t>for</w:t>
      </w:r>
      <w:proofErr w:type="spellEnd"/>
      <w:r w:rsidRPr="00824EDD">
        <w:rPr>
          <w:sz w:val="32"/>
        </w:rPr>
        <w:t xml:space="preserve"> Low, Medium </w:t>
      </w:r>
      <w:proofErr w:type="spellStart"/>
      <w:r w:rsidRPr="00824EDD">
        <w:rPr>
          <w:sz w:val="32"/>
        </w:rPr>
        <w:t>and</w:t>
      </w:r>
      <w:proofErr w:type="spellEnd"/>
      <w:r w:rsidRPr="00824EDD">
        <w:rPr>
          <w:sz w:val="32"/>
        </w:rPr>
        <w:t xml:space="preserve"> High </w:t>
      </w:r>
      <w:proofErr w:type="spellStart"/>
      <w:r w:rsidRPr="00824EDD">
        <w:rPr>
          <w:sz w:val="32"/>
        </w:rPr>
        <w:t>Voltage</w:t>
      </w:r>
      <w:proofErr w:type="spellEnd"/>
      <w:r w:rsidRPr="00824EDD">
        <w:rPr>
          <w:sz w:val="32"/>
        </w:rPr>
        <w:t xml:space="preserve"> </w:t>
      </w:r>
      <w:proofErr w:type="spellStart"/>
      <w:r w:rsidRPr="00824EDD">
        <w:rPr>
          <w:sz w:val="32"/>
        </w:rPr>
        <w:t>networks</w:t>
      </w:r>
      <w:proofErr w:type="spellEnd"/>
    </w:p>
    <w:p w:rsidR="00BF10C7" w:rsidRDefault="00BF10C7">
      <w:r>
        <w:br w:type="page"/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9043"/>
      </w:tblGrid>
      <w:tr w:rsidR="00BF10C7" w:rsidTr="007C7F5F">
        <w:trPr>
          <w:trHeight w:val="567"/>
        </w:trPr>
        <w:tc>
          <w:tcPr>
            <w:tcW w:w="1413" w:type="dxa"/>
            <w:vAlign w:val="center"/>
          </w:tcPr>
          <w:p w:rsidR="00BF10C7" w:rsidRDefault="00BF10C7" w:rsidP="00BF10C7">
            <w:pPr>
              <w:tabs>
                <w:tab w:val="left" w:pos="5739"/>
              </w:tabs>
              <w:jc w:val="center"/>
            </w:pPr>
          </w:p>
        </w:tc>
        <w:tc>
          <w:tcPr>
            <w:tcW w:w="9043" w:type="dxa"/>
            <w:vAlign w:val="center"/>
          </w:tcPr>
          <w:p w:rsidR="00BF10C7" w:rsidRPr="00BF10C7" w:rsidRDefault="000C1120" w:rsidP="00BF10C7">
            <w:pPr>
              <w:tabs>
                <w:tab w:val="left" w:pos="5739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Tender</w:t>
            </w:r>
            <w:r w:rsidR="00BF10C7" w:rsidRPr="00BF10C7">
              <w:rPr>
                <w:b/>
                <w:sz w:val="28"/>
              </w:rPr>
              <w:t xml:space="preserve"> </w:t>
            </w:r>
            <w:proofErr w:type="spellStart"/>
            <w:r w:rsidR="00BF10C7" w:rsidRPr="00BF10C7">
              <w:rPr>
                <w:b/>
                <w:sz w:val="28"/>
              </w:rPr>
              <w:t>Specification</w:t>
            </w:r>
            <w:proofErr w:type="spellEnd"/>
          </w:p>
        </w:tc>
      </w:tr>
      <w:tr w:rsidR="00BF10C7" w:rsidTr="007C7F5F">
        <w:tc>
          <w:tcPr>
            <w:tcW w:w="1413" w:type="dxa"/>
            <w:vAlign w:val="center"/>
          </w:tcPr>
          <w:p w:rsidR="00BF10C7" w:rsidRDefault="00BF10C7" w:rsidP="00BF10C7">
            <w:pPr>
              <w:tabs>
                <w:tab w:val="left" w:pos="5739"/>
              </w:tabs>
              <w:jc w:val="center"/>
            </w:pPr>
            <w:r>
              <w:t>Pos. 1:</w:t>
            </w:r>
          </w:p>
          <w:p w:rsidR="00BF10C7" w:rsidRPr="00BF10C7" w:rsidRDefault="00BF10C7" w:rsidP="00BF10C7">
            <w:pPr>
              <w:tabs>
                <w:tab w:val="left" w:pos="5739"/>
              </w:tabs>
              <w:jc w:val="center"/>
              <w:rPr>
                <w:b/>
              </w:rPr>
            </w:pPr>
            <w:r w:rsidRPr="00BF10C7">
              <w:rPr>
                <w:b/>
              </w:rPr>
              <w:t>General</w:t>
            </w:r>
          </w:p>
        </w:tc>
        <w:tc>
          <w:tcPr>
            <w:tcW w:w="9043" w:type="dxa"/>
          </w:tcPr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mobile Power-Quality </w:t>
            </w:r>
            <w:proofErr w:type="spellStart"/>
            <w:r>
              <w:t>Analyser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measuring</w:t>
            </w:r>
            <w:proofErr w:type="spellEnd"/>
            <w:r>
              <w:t xml:space="preserve"> 4 </w:t>
            </w:r>
            <w:proofErr w:type="spellStart"/>
            <w:r>
              <w:t>voltages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5 </w:t>
            </w:r>
            <w:proofErr w:type="spellStart"/>
            <w:r>
              <w:t>currents</w:t>
            </w:r>
            <w:proofErr w:type="spellEnd"/>
            <w:r>
              <w:t xml:space="preserve"> in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measurements</w:t>
            </w:r>
            <w:proofErr w:type="spellEnd"/>
            <w:r>
              <w:t xml:space="preserve"> in medium </w:t>
            </w:r>
            <w:proofErr w:type="spellStart"/>
            <w:r>
              <w:t>and</w:t>
            </w:r>
            <w:proofErr w:type="spellEnd"/>
            <w:r>
              <w:t xml:space="preserve"> high </w:t>
            </w: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via </w:t>
            </w:r>
            <w:proofErr w:type="spellStart"/>
            <w:r>
              <w:t>instrument</w:t>
            </w:r>
            <w:proofErr w:type="spellEnd"/>
            <w:r>
              <w:t xml:space="preserve"> </w:t>
            </w:r>
            <w:proofErr w:type="spellStart"/>
            <w:r>
              <w:t>transformers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compliant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IEC 61000-4-30 Ed.3 (2015)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fulfil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“Class A”. A </w:t>
            </w:r>
            <w:proofErr w:type="spellStart"/>
            <w:r>
              <w:t>confirmation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t xml:space="preserve">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IEC 61000-4-30 Class A </w:t>
            </w:r>
            <w:proofErr w:type="spellStart"/>
            <w:r>
              <w:t>by</w:t>
            </w:r>
            <w:proofErr w:type="spellEnd"/>
            <w:r>
              <w:t xml:space="preserve"> an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laboratory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A fault </w:t>
            </w:r>
            <w:proofErr w:type="spellStart"/>
            <w:r>
              <w:t>record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triggered</w:t>
            </w:r>
            <w:proofErr w:type="spellEnd"/>
            <w:r>
              <w:t xml:space="preserve"> via </w:t>
            </w:r>
            <w:proofErr w:type="spellStart"/>
            <w:r>
              <w:t>external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input</w:t>
            </w:r>
            <w:proofErr w:type="spellEnd"/>
            <w:r>
              <w:t xml:space="preserve"> (AC/DC </w:t>
            </w:r>
            <w:proofErr w:type="spellStart"/>
            <w:r>
              <w:t>signals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0 V </w:t>
            </w:r>
            <w:proofErr w:type="spellStart"/>
            <w:r>
              <w:t>to</w:t>
            </w:r>
            <w:proofErr w:type="spellEnd"/>
            <w:r>
              <w:t xml:space="preserve"> 250 V).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0-1000 mV </w:t>
            </w:r>
            <w:proofErr w:type="spellStart"/>
            <w:r>
              <w:t>signals</w:t>
            </w:r>
            <w:proofErr w:type="spellEnd"/>
            <w:r>
              <w:t xml:space="preserve">, an AUX </w:t>
            </w:r>
            <w:proofErr w:type="spellStart"/>
            <w:r>
              <w:t>input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. Units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scaling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freely</w:t>
            </w:r>
            <w:proofErr w:type="spellEnd"/>
            <w:r>
              <w:t xml:space="preserve"> </w:t>
            </w:r>
            <w:proofErr w:type="spellStart"/>
            <w:r>
              <w:t>configurable</w:t>
            </w:r>
            <w:proofErr w:type="spellEnd"/>
            <w:r>
              <w:t xml:space="preserve">. (E.g. </w:t>
            </w:r>
            <w:proofErr w:type="spellStart"/>
            <w:r>
              <w:t>simultaneous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temperature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4x </w:t>
            </w:r>
            <w:proofErr w:type="spellStart"/>
            <w:r>
              <w:t>voltage</w:t>
            </w:r>
            <w:proofErr w:type="spellEnd"/>
            <w:r>
              <w:t xml:space="preserve">, 4x </w:t>
            </w:r>
            <w:proofErr w:type="spellStart"/>
            <w:r>
              <w:t>current</w:t>
            </w:r>
            <w:proofErr w:type="spellEnd"/>
            <w:r>
              <w:t>)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accuracy</w:t>
            </w:r>
            <w:proofErr w:type="spellEnd"/>
            <w:r>
              <w:t xml:space="preserve"> </w:t>
            </w:r>
            <w:proofErr w:type="spellStart"/>
            <w:r>
              <w:t>limit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  <w:r>
              <w:t xml:space="preserve">-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inputs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&lt; 0,1 %.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inputs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measure</w:t>
            </w:r>
            <w:proofErr w:type="spellEnd"/>
            <w:r>
              <w:t xml:space="preserve"> AC </w:t>
            </w:r>
            <w:proofErr w:type="spellStart"/>
            <w:r>
              <w:t>and</w:t>
            </w:r>
            <w:proofErr w:type="spellEnd"/>
            <w:r>
              <w:t xml:space="preserve"> DC </w:t>
            </w:r>
            <w:proofErr w:type="spellStart"/>
            <w:r>
              <w:t>values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P-P: 0-830V </w:t>
            </w:r>
            <w:proofErr w:type="spellStart"/>
            <w:r>
              <w:t>for</w:t>
            </w:r>
            <w:proofErr w:type="spellEnd"/>
            <w:r>
              <w:t xml:space="preserve"> AC </w:t>
            </w:r>
            <w:proofErr w:type="spellStart"/>
            <w:r>
              <w:t>and</w:t>
            </w:r>
            <w:proofErr w:type="spellEnd"/>
            <w:r>
              <w:t xml:space="preserve"> 1000V </w:t>
            </w:r>
            <w:proofErr w:type="spellStart"/>
            <w:r>
              <w:t>for</w:t>
            </w:r>
            <w:proofErr w:type="spellEnd"/>
            <w:r>
              <w:t xml:space="preserve"> DC </w:t>
            </w:r>
            <w:proofErr w:type="spellStart"/>
            <w:r>
              <w:t>measurements</w:t>
            </w:r>
            <w:proofErr w:type="spellEnd"/>
            <w:r>
              <w:t xml:space="preserve">, </w:t>
            </w:r>
            <w:proofErr w:type="spellStart"/>
            <w:r>
              <w:t>appropriate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measurements</w:t>
            </w:r>
            <w:proofErr w:type="spellEnd"/>
            <w:r>
              <w:t xml:space="preserve"> in LV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at </w:t>
            </w:r>
            <w:proofErr w:type="spellStart"/>
            <w:r>
              <w:t>instrument</w:t>
            </w:r>
            <w:proofErr w:type="spellEnd"/>
            <w:r>
              <w:t xml:space="preserve"> </w:t>
            </w:r>
            <w:proofErr w:type="spellStart"/>
            <w:r>
              <w:t>transformers</w:t>
            </w:r>
            <w:proofErr w:type="spellEnd"/>
            <w:r>
              <w:t xml:space="preserve"> in MV/HV </w:t>
            </w:r>
            <w:proofErr w:type="spellStart"/>
            <w:r>
              <w:t>systems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transient </w:t>
            </w:r>
            <w:proofErr w:type="spellStart"/>
            <w:r>
              <w:t>values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contain</w:t>
            </w:r>
            <w:proofErr w:type="spellEnd"/>
            <w:r>
              <w:t xml:space="preserve"> a </w:t>
            </w: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card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sample </w:t>
            </w:r>
            <w:proofErr w:type="spellStart"/>
            <w:r>
              <w:t>ratio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at least 4 MHz </w:t>
            </w:r>
            <w:proofErr w:type="spellStart"/>
            <w:r>
              <w:t>and</w:t>
            </w:r>
            <w:proofErr w:type="spellEnd"/>
            <w:r>
              <w:t xml:space="preserve"> a </w:t>
            </w: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-5.000 V </w:t>
            </w:r>
            <w:proofErr w:type="spellStart"/>
            <w:r>
              <w:t>to</w:t>
            </w:r>
            <w:proofErr w:type="spellEnd"/>
            <w:r>
              <w:t xml:space="preserve"> 5.000 V.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Measurement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: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3000 A </w:t>
            </w:r>
            <w:proofErr w:type="spellStart"/>
            <w:r>
              <w:t>with</w:t>
            </w:r>
            <w:proofErr w:type="spellEnd"/>
            <w:r>
              <w:t xml:space="preserve"> flexible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clamps</w:t>
            </w:r>
            <w:proofErr w:type="spellEnd"/>
            <w:r>
              <w:t xml:space="preserve">, optional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6000 A </w:t>
            </w:r>
            <w:proofErr w:type="spellStart"/>
            <w:r>
              <w:t>and</w:t>
            </w:r>
            <w:proofErr w:type="spellEnd"/>
            <w:r>
              <w:t xml:space="preserve"> mini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clamps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1</w:t>
            </w:r>
            <w:r w:rsidR="00055961">
              <w:t xml:space="preserve"> </w:t>
            </w:r>
            <w:r>
              <w:t>A/5</w:t>
            </w:r>
            <w:r w:rsidR="00055961">
              <w:t xml:space="preserve"> </w:t>
            </w:r>
            <w:r>
              <w:t xml:space="preserve">A </w:t>
            </w:r>
            <w:proofErr w:type="spellStart"/>
            <w:r>
              <w:t>instrument</w:t>
            </w:r>
            <w:proofErr w:type="spellEnd"/>
            <w:r>
              <w:t xml:space="preserve"> </w:t>
            </w:r>
            <w:proofErr w:type="spellStart"/>
            <w:r>
              <w:t>transformers</w:t>
            </w:r>
            <w:proofErr w:type="spellEnd"/>
            <w:r>
              <w:t xml:space="preserve">. The </w:t>
            </w:r>
            <w:proofErr w:type="spellStart"/>
            <w:r>
              <w:t>analyser</w:t>
            </w:r>
            <w:proofErr w:type="spellEnd"/>
            <w:r>
              <w:t xml:space="preserve"> must </w:t>
            </w:r>
            <w:proofErr w:type="spellStart"/>
            <w:r>
              <w:t>detect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connected</w:t>
            </w:r>
            <w:proofErr w:type="spellEnd"/>
            <w:r>
              <w:t xml:space="preserve"> </w:t>
            </w:r>
            <w:proofErr w:type="spellStart"/>
            <w:r>
              <w:t>clamps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coding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settings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set</w:t>
            </w:r>
            <w:proofErr w:type="spellEnd"/>
            <w:r>
              <w:t xml:space="preserve"> </w:t>
            </w:r>
            <w:proofErr w:type="spellStart"/>
            <w:r>
              <w:t>automatically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channels</w:t>
            </w:r>
            <w:proofErr w:type="spellEnd"/>
            <w:r>
              <w:t xml:space="preserve"> must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sampling</w:t>
            </w:r>
            <w:proofErr w:type="spellEnd"/>
            <w:r>
              <w:t xml:space="preserve"> rate </w:t>
            </w:r>
            <w:proofErr w:type="spellStart"/>
            <w:r>
              <w:t>of</w:t>
            </w:r>
            <w:proofErr w:type="spellEnd"/>
            <w:r>
              <w:t xml:space="preserve"> at least 40 kHz </w:t>
            </w:r>
            <w:proofErr w:type="spellStart"/>
            <w:r>
              <w:t>and</w:t>
            </w:r>
            <w:proofErr w:type="spellEnd"/>
            <w:r>
              <w:t xml:space="preserve"> a </w:t>
            </w:r>
            <w:proofErr w:type="spellStart"/>
            <w:r>
              <w:t>resolution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24 </w:t>
            </w:r>
            <w:proofErr w:type="spellStart"/>
            <w:r>
              <w:t>bit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online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(</w:t>
            </w:r>
            <w:proofErr w:type="spellStart"/>
            <w:r>
              <w:t>voltage</w:t>
            </w:r>
            <w:proofErr w:type="spellEnd"/>
            <w:r>
              <w:t xml:space="preserve">, </w:t>
            </w:r>
            <w:proofErr w:type="spellStart"/>
            <w:r>
              <w:t>current</w:t>
            </w:r>
            <w:proofErr w:type="spellEnd"/>
            <w:r>
              <w:t xml:space="preserve">, power, power </w:t>
            </w:r>
            <w:proofErr w:type="spellStart"/>
            <w:r>
              <w:t>consumption</w:t>
            </w:r>
            <w:proofErr w:type="spellEnd"/>
            <w:r>
              <w:t xml:space="preserve">, THD,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PQ-events </w:t>
            </w:r>
            <w:proofErr w:type="spellStart"/>
            <w:r>
              <w:t>and</w:t>
            </w:r>
            <w:proofErr w:type="spellEnd"/>
            <w:r>
              <w:t xml:space="preserve"> fault </w:t>
            </w:r>
            <w:proofErr w:type="spellStart"/>
            <w:r>
              <w:t>records</w:t>
            </w:r>
            <w:proofErr w:type="spellEnd"/>
            <w:r>
              <w:t xml:space="preserve">)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viewed</w:t>
            </w:r>
            <w:proofErr w:type="spellEnd"/>
            <w:r>
              <w:t xml:space="preserve"> at a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  <w:proofErr w:type="spellStart"/>
            <w:r>
              <w:t>display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analyser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equipped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memory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min. 4 GB. The </w:t>
            </w:r>
            <w:proofErr w:type="spellStart"/>
            <w:r>
              <w:t>memory</w:t>
            </w:r>
            <w:proofErr w:type="spellEnd"/>
            <w:r>
              <w:t xml:space="preserve"> </w:t>
            </w:r>
            <w:proofErr w:type="spellStart"/>
            <w:r>
              <w:t>card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easily</w:t>
            </w:r>
            <w:proofErr w:type="spellEnd"/>
            <w:r>
              <w:t xml:space="preserve"> </w:t>
            </w:r>
            <w:proofErr w:type="spellStart"/>
            <w:r>
              <w:t>replaceable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user</w:t>
            </w:r>
            <w:proofErr w:type="spellEnd"/>
            <w:r>
              <w:t xml:space="preserve">. Memory </w:t>
            </w:r>
            <w:proofErr w:type="spellStart"/>
            <w:r>
              <w:t>cards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32</w:t>
            </w:r>
            <w:r w:rsidR="00AF078A">
              <w:t xml:space="preserve"> </w:t>
            </w:r>
            <w:r>
              <w:t xml:space="preserve">GB will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t xml:space="preserve">. </w:t>
            </w:r>
          </w:p>
          <w:p w:rsidR="00A0162E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system</w:t>
            </w:r>
            <w:proofErr w:type="spellEnd"/>
            <w:r>
              <w:t xml:space="preserve"> must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monitoring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threshold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standards</w:t>
            </w:r>
            <w:proofErr w:type="spellEnd"/>
            <w:r>
              <w:t>:</w:t>
            </w:r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r>
              <w:t>EN50160</w:t>
            </w:r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r>
              <w:t>IEC61000-2-2</w:t>
            </w:r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r>
              <w:t>IEC61000-2-4 (</w:t>
            </w:r>
            <w:proofErr w:type="spellStart"/>
            <w:r>
              <w:t>class</w:t>
            </w:r>
            <w:proofErr w:type="spellEnd"/>
            <w:r>
              <w:t xml:space="preserve"> 1, 2, 3)</w:t>
            </w:r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r>
              <w:t>NRS 048</w:t>
            </w:r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r>
              <w:t>IEEE519</w:t>
            </w:r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r>
              <w:t>DACHCZ</w:t>
            </w:r>
          </w:p>
          <w:p w:rsidR="00D26F59" w:rsidRDefault="00A0162E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r>
              <w:t>VDE AR 4100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threshold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EN 50160 </w:t>
            </w:r>
            <w:proofErr w:type="spellStart"/>
            <w:r>
              <w:t>and</w:t>
            </w:r>
            <w:proofErr w:type="spellEnd"/>
            <w:r>
              <w:t xml:space="preserve"> IEC-standard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configurable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measure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angle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-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voltage-harmonics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IEC 61000-3-12 </w:t>
            </w:r>
            <w:proofErr w:type="spellStart"/>
            <w:r>
              <w:t>standard</w:t>
            </w:r>
            <w:proofErr w:type="spellEnd"/>
            <w:r>
              <w:t xml:space="preserve">. (Reference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  <w:r>
              <w:t xml:space="preserve"> angle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harmonic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fundamental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  <w:r>
              <w:t>)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flicker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F1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IEC 61000-4-15 </w:t>
            </w:r>
            <w:proofErr w:type="spellStart"/>
            <w:r>
              <w:t>standard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Settings like nominal </w:t>
            </w:r>
            <w:proofErr w:type="spellStart"/>
            <w:r>
              <w:t>voltage</w:t>
            </w:r>
            <w:proofErr w:type="spellEnd"/>
            <w:r>
              <w:t xml:space="preserve">, </w:t>
            </w:r>
            <w:proofErr w:type="spellStart"/>
            <w:r>
              <w:t>transformer</w:t>
            </w:r>
            <w:proofErr w:type="spellEnd"/>
            <w:r>
              <w:t xml:space="preserve"> </w:t>
            </w:r>
            <w:proofErr w:type="spellStart"/>
            <w:r>
              <w:t>ratio</w:t>
            </w:r>
            <w:proofErr w:type="spellEnd"/>
            <w:r>
              <w:t xml:space="preserve">,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set</w:t>
            </w:r>
            <w:proofErr w:type="spellEnd"/>
            <w:r>
              <w:t xml:space="preserve"> via </w:t>
            </w:r>
            <w:proofErr w:type="spellStart"/>
            <w:r>
              <w:t>display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(</w:t>
            </w:r>
            <w:proofErr w:type="spellStart"/>
            <w:r>
              <w:t>no</w:t>
            </w:r>
            <w:proofErr w:type="spellEnd"/>
            <w:r>
              <w:t xml:space="preserve"> PC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>)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interval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freely</w:t>
            </w:r>
            <w:proofErr w:type="spellEnd"/>
            <w:r>
              <w:t xml:space="preserve"> </w:t>
            </w:r>
            <w:proofErr w:type="spellStart"/>
            <w:r>
              <w:t>programmable</w:t>
            </w:r>
            <w:proofErr w:type="spellEnd"/>
            <w:r>
              <w:t xml:space="preserve"> in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1 sec </w:t>
            </w:r>
            <w:proofErr w:type="spellStart"/>
            <w:r>
              <w:t>to</w:t>
            </w:r>
            <w:proofErr w:type="spellEnd"/>
            <w:r>
              <w:t xml:space="preserve"> 30 min.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intervals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recordable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restriction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parallel: 200 </w:t>
            </w:r>
            <w:proofErr w:type="spellStart"/>
            <w:r>
              <w:t>ms</w:t>
            </w:r>
            <w:proofErr w:type="spellEnd"/>
            <w:r>
              <w:t xml:space="preserve">; 3 sec; 1 sec </w:t>
            </w:r>
            <w:proofErr w:type="spellStart"/>
            <w:r>
              <w:t>to</w:t>
            </w:r>
            <w:proofErr w:type="spellEnd"/>
            <w:r>
              <w:t xml:space="preserve"> 30 min (variable); 2 h.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standards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10 min </w:t>
            </w:r>
            <w:proofErr w:type="spellStart"/>
            <w:r>
              <w:t>data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recordable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1 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loss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pre-selection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</w:t>
            </w:r>
            <w:proofErr w:type="spellStart"/>
            <w:r>
              <w:t>has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. The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compute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record</w:t>
            </w:r>
            <w:proofErr w:type="spellEnd"/>
            <w:r>
              <w:t xml:space="preserve"> all 3800 </w:t>
            </w:r>
            <w:proofErr w:type="spellStart"/>
            <w:r>
              <w:t>parameters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load</w:t>
            </w:r>
            <w:proofErr w:type="spellEnd"/>
            <w:r>
              <w:t xml:space="preserve"> </w:t>
            </w:r>
            <w:proofErr w:type="spellStart"/>
            <w:r>
              <w:t>analyses</w:t>
            </w:r>
            <w:proofErr w:type="spellEnd"/>
            <w:r>
              <w:t xml:space="preserve"> </w:t>
            </w:r>
            <w:proofErr w:type="spellStart"/>
            <w:r>
              <w:t>simultaneously</w:t>
            </w:r>
            <w:proofErr w:type="spellEnd"/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FFT </w:t>
            </w:r>
            <w:proofErr w:type="spellStart"/>
            <w:r>
              <w:t>calculation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visualisation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harmonics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interharmonics</w:t>
            </w:r>
            <w:proofErr w:type="spellEnd"/>
            <w:r>
              <w:t xml:space="preserve"> must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DC </w:t>
            </w:r>
            <w:proofErr w:type="spellStart"/>
            <w:r>
              <w:t>to</w:t>
            </w:r>
            <w:proofErr w:type="spellEnd"/>
            <w:r>
              <w:t xml:space="preserve"> 20.000 Hz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resolution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5 Hz.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calculate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permanently</w:t>
            </w:r>
            <w:proofErr w:type="spellEnd"/>
            <w:r>
              <w:t xml:space="preserve"> </w:t>
            </w:r>
            <w:proofErr w:type="spellStart"/>
            <w:r>
              <w:t>record</w:t>
            </w:r>
            <w:proofErr w:type="spellEnd"/>
            <w:r>
              <w:t xml:space="preserve"> </w:t>
            </w:r>
            <w:proofErr w:type="spellStart"/>
            <w:r>
              <w:t>voltages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frequencies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2 kHz </w:t>
            </w:r>
            <w:proofErr w:type="spellStart"/>
            <w:r>
              <w:t>to</w:t>
            </w:r>
            <w:proofErr w:type="spellEnd"/>
            <w:r>
              <w:t xml:space="preserve"> 9 kHz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IEC 61000-4-7 </w:t>
            </w:r>
            <w:proofErr w:type="spellStart"/>
            <w:r>
              <w:t>standard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lastRenderedPageBreak/>
              <w:t xml:space="preserve">Long </w:t>
            </w:r>
            <w:proofErr w:type="spellStart"/>
            <w:r>
              <w:t>term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all </w:t>
            </w:r>
            <w:proofErr w:type="spellStart"/>
            <w:r>
              <w:t>triggered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measured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recorded</w:t>
            </w:r>
            <w:proofErr w:type="spellEnd"/>
            <w:r>
              <w:t xml:space="preserve"> </w:t>
            </w:r>
            <w:proofErr w:type="spellStart"/>
            <w:r>
              <w:t>simultaneously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phase-to-ground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  <w:r>
              <w:t>-</w:t>
            </w:r>
            <w:proofErr w:type="spellStart"/>
            <w:r>
              <w:t>to</w:t>
            </w:r>
            <w:proofErr w:type="spellEnd"/>
            <w:r>
              <w:t xml:space="preserve">-phase </w:t>
            </w:r>
            <w:proofErr w:type="spellStart"/>
            <w:r>
              <w:t>values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Event type,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, </w:t>
            </w:r>
            <w:proofErr w:type="spellStart"/>
            <w:r>
              <w:t>onset</w:t>
            </w:r>
            <w:proofErr w:type="spellEnd"/>
            <w:r>
              <w:t xml:space="preserve">, </w:t>
            </w:r>
            <w:proofErr w:type="spellStart"/>
            <w:r>
              <w:t>duration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extreme </w:t>
            </w:r>
            <w:proofErr w:type="spellStart"/>
            <w:r>
              <w:t>values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recorded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type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  <w:r>
              <w:t xml:space="preserve">. Events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triggered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limit-value</w:t>
            </w:r>
            <w:proofErr w:type="spellEnd"/>
            <w:r>
              <w:t xml:space="preserve"> </w:t>
            </w:r>
            <w:proofErr w:type="spellStart"/>
            <w:r>
              <w:t>violations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EN</w:t>
            </w:r>
            <w:r w:rsidR="00A0162E">
              <w:t xml:space="preserve"> </w:t>
            </w:r>
            <w:r>
              <w:t xml:space="preserve">50160 </w:t>
            </w:r>
            <w:proofErr w:type="spellStart"/>
            <w:r>
              <w:t>or</w:t>
            </w:r>
            <w:proofErr w:type="spellEnd"/>
            <w:r>
              <w:t xml:space="preserve"> IEC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options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thresholds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configurable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EN 50160 </w:t>
            </w:r>
            <w:proofErr w:type="spellStart"/>
            <w:r>
              <w:t>or</w:t>
            </w:r>
            <w:proofErr w:type="spellEnd"/>
            <w:r>
              <w:t xml:space="preserve"> IEC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settings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  <w:r>
              <w:t xml:space="preserve">, </w:t>
            </w:r>
            <w:proofErr w:type="spellStart"/>
            <w:r>
              <w:t>oscilloscope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½ </w:t>
            </w:r>
            <w:proofErr w:type="spellStart"/>
            <w:r>
              <w:t>period</w:t>
            </w:r>
            <w:proofErr w:type="spellEnd"/>
            <w:r>
              <w:t xml:space="preserve"> RMS </w:t>
            </w:r>
            <w:proofErr w:type="spellStart"/>
            <w:r>
              <w:t>data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recorded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3 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warranty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analyser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Dimensions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t xml:space="preserve"> must not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greater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240 mm x 180mm x 50mm</w:t>
            </w:r>
            <w:r w:rsidR="007E1CFC">
              <w:t>.</w:t>
            </w:r>
          </w:p>
          <w:p w:rsidR="00BF10C7" w:rsidRDefault="00D26F59" w:rsidP="000853A2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function</w:t>
            </w:r>
            <w:proofErr w:type="spellEnd"/>
            <w:r>
              <w:t xml:space="preserve"> </w:t>
            </w:r>
            <w:proofErr w:type="spellStart"/>
            <w:r>
              <w:t>correctly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temperature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-20</w:t>
            </w:r>
            <w:r w:rsidR="000853A2">
              <w:t xml:space="preserve"> </w:t>
            </w:r>
            <w:r>
              <w:t xml:space="preserve">°C </w:t>
            </w:r>
            <w:proofErr w:type="spellStart"/>
            <w:r>
              <w:t>to</w:t>
            </w:r>
            <w:proofErr w:type="spellEnd"/>
            <w:r>
              <w:t xml:space="preserve"> +60</w:t>
            </w:r>
            <w:r w:rsidR="000853A2">
              <w:t xml:space="preserve"> </w:t>
            </w:r>
            <w:r>
              <w:t>°C</w:t>
            </w:r>
            <w:r w:rsidR="007E1CFC">
              <w:t>.</w:t>
            </w:r>
          </w:p>
        </w:tc>
      </w:tr>
      <w:tr w:rsidR="00BF10C7" w:rsidTr="007C7F5F">
        <w:tc>
          <w:tcPr>
            <w:tcW w:w="1413" w:type="dxa"/>
            <w:vAlign w:val="center"/>
          </w:tcPr>
          <w:p w:rsidR="00BF10C7" w:rsidRDefault="00BF10C7" w:rsidP="00BF10C7">
            <w:pPr>
              <w:tabs>
                <w:tab w:val="left" w:pos="5739"/>
              </w:tabs>
              <w:jc w:val="center"/>
            </w:pPr>
            <w:r>
              <w:lastRenderedPageBreak/>
              <w:t>Pos. 2:</w:t>
            </w:r>
          </w:p>
          <w:p w:rsidR="00BF10C7" w:rsidRPr="00BF10C7" w:rsidRDefault="00BF10C7" w:rsidP="00BF10C7">
            <w:pPr>
              <w:tabs>
                <w:tab w:val="left" w:pos="5739"/>
              </w:tabs>
              <w:jc w:val="center"/>
              <w:rPr>
                <w:b/>
              </w:rPr>
            </w:pPr>
            <w:proofErr w:type="spellStart"/>
            <w:r w:rsidRPr="00BF10C7">
              <w:rPr>
                <w:b/>
              </w:rPr>
              <w:t>Functions</w:t>
            </w:r>
            <w:proofErr w:type="spellEnd"/>
          </w:p>
        </w:tc>
        <w:tc>
          <w:tcPr>
            <w:tcW w:w="9043" w:type="dxa"/>
          </w:tcPr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>:</w:t>
            </w:r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proofErr w:type="spellStart"/>
            <w:r>
              <w:t>Under</w:t>
            </w:r>
            <w:proofErr w:type="spellEnd"/>
            <w:r>
              <w:t xml:space="preserve">-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overshoot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predefined</w:t>
            </w:r>
            <w:proofErr w:type="spellEnd"/>
            <w:r>
              <w:t xml:space="preserve"> RMS </w:t>
            </w:r>
            <w:proofErr w:type="spellStart"/>
            <w:r>
              <w:t>value</w:t>
            </w:r>
            <w:proofErr w:type="spellEnd"/>
            <w:r>
              <w:t xml:space="preserve"> (</w:t>
            </w: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>)</w:t>
            </w:r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  <w:r>
              <w:t xml:space="preserve"> (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hopping</w:t>
            </w:r>
            <w:proofErr w:type="spellEnd"/>
            <w:r>
              <w:t xml:space="preserve">, </w:t>
            </w:r>
            <w:proofErr w:type="spellStart"/>
            <w:r>
              <w:t>under</w:t>
            </w:r>
            <w:proofErr w:type="spellEnd"/>
            <w:r>
              <w:t xml:space="preserve">-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overshoot</w:t>
            </w:r>
            <w:proofErr w:type="spellEnd"/>
            <w:r>
              <w:t>)</w:t>
            </w:r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proofErr w:type="spellStart"/>
            <w:r>
              <w:t>Envelope</w:t>
            </w:r>
            <w:proofErr w:type="spellEnd"/>
            <w:r>
              <w:t xml:space="preserve"> </w:t>
            </w:r>
            <w:proofErr w:type="spellStart"/>
            <w:r>
              <w:t>curve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hopping</w:t>
            </w:r>
            <w:proofErr w:type="spellEnd"/>
            <w:r>
              <w:t xml:space="preserve"> (</w:t>
            </w: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) </w:t>
            </w:r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r>
              <w:t>Phase jump (°)</w:t>
            </w:r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  <w:r>
              <w:t xml:space="preserve"> (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automatically</w:t>
            </w:r>
            <w:proofErr w:type="spellEnd"/>
            <w:r>
              <w:t xml:space="preserve"> </w:t>
            </w:r>
            <w:proofErr w:type="spellStart"/>
            <w:r>
              <w:t>adjusted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>)</w:t>
            </w:r>
          </w:p>
          <w:p w:rsidR="00D26F59" w:rsidRDefault="00D26F59" w:rsidP="00A0162E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r>
              <w:t xml:space="preserve">Trigger </w:t>
            </w:r>
            <w:proofErr w:type="spellStart"/>
            <w:r>
              <w:t>events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recorded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RMS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oscilloscope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. Duration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prehistory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parameterised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user</w:t>
            </w:r>
            <w:proofErr w:type="spellEnd"/>
            <w:r>
              <w:t xml:space="preserve">. 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½ </w:t>
            </w:r>
            <w:proofErr w:type="spellStart"/>
            <w:r>
              <w:t>period</w:t>
            </w:r>
            <w:proofErr w:type="spellEnd"/>
            <w:r>
              <w:t xml:space="preserve"> </w:t>
            </w:r>
            <w:proofErr w:type="spellStart"/>
            <w:r>
              <w:t>sampling</w:t>
            </w:r>
            <w:proofErr w:type="spellEnd"/>
            <w:r>
              <w:t xml:space="preserve"> – </w:t>
            </w:r>
            <w:proofErr w:type="spellStart"/>
            <w:r>
              <w:t>recording</w:t>
            </w:r>
            <w:proofErr w:type="spellEnd"/>
            <w:r>
              <w:t xml:space="preserve"> </w:t>
            </w:r>
            <w:proofErr w:type="spellStart"/>
            <w:r>
              <w:t>duration</w:t>
            </w:r>
            <w:proofErr w:type="spellEnd"/>
            <w:r>
              <w:t xml:space="preserve"> </w:t>
            </w:r>
            <w:proofErr w:type="spellStart"/>
            <w:r>
              <w:t>length</w:t>
            </w:r>
            <w:proofErr w:type="spellEnd"/>
            <w:r>
              <w:t xml:space="preserve"> min. 600 sec.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20 kHz </w:t>
            </w:r>
            <w:proofErr w:type="spellStart"/>
            <w:r>
              <w:t>sampling</w:t>
            </w:r>
            <w:proofErr w:type="spellEnd"/>
            <w:r>
              <w:t xml:space="preserve"> – </w:t>
            </w:r>
            <w:proofErr w:type="spellStart"/>
            <w:r>
              <w:t>recording</w:t>
            </w:r>
            <w:proofErr w:type="spellEnd"/>
            <w:r>
              <w:t xml:space="preserve"> </w:t>
            </w:r>
            <w:proofErr w:type="spellStart"/>
            <w:r>
              <w:t>duration</w:t>
            </w:r>
            <w:proofErr w:type="spellEnd"/>
            <w:r>
              <w:t xml:space="preserve"> </w:t>
            </w:r>
            <w:proofErr w:type="spellStart"/>
            <w:r>
              <w:t>length</w:t>
            </w:r>
            <w:proofErr w:type="spellEnd"/>
            <w:r>
              <w:t xml:space="preserve"> min. 4.000 </w:t>
            </w:r>
            <w:proofErr w:type="spellStart"/>
            <w:r>
              <w:t>msec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In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disruption</w:t>
            </w:r>
            <w:proofErr w:type="spellEnd"/>
            <w:r>
              <w:t>, an intern UPS (</w:t>
            </w:r>
            <w:proofErr w:type="spellStart"/>
            <w:r>
              <w:t>uninterruptable</w:t>
            </w:r>
            <w:proofErr w:type="spellEnd"/>
            <w:r>
              <w:t xml:space="preserve"> power </w:t>
            </w:r>
            <w:proofErr w:type="spellStart"/>
            <w:r>
              <w:t>supply</w:t>
            </w:r>
            <w:proofErr w:type="spellEnd"/>
            <w:r>
              <w:t xml:space="preserve">) must </w:t>
            </w: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4 </w:t>
            </w:r>
            <w:proofErr w:type="spellStart"/>
            <w:r>
              <w:t>hours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possibility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an </w:t>
            </w:r>
            <w:proofErr w:type="spellStart"/>
            <w:r>
              <w:t>external</w:t>
            </w:r>
            <w:proofErr w:type="spellEnd"/>
            <w:r>
              <w:t xml:space="preserve"> time </w:t>
            </w:r>
            <w:proofErr w:type="spellStart"/>
            <w:r>
              <w:t>synchronisation</w:t>
            </w:r>
            <w:proofErr w:type="spellEnd"/>
            <w:r>
              <w:t xml:space="preserve"> via DCF77 </w:t>
            </w:r>
            <w:proofErr w:type="spellStart"/>
            <w:r>
              <w:t>and</w:t>
            </w:r>
            <w:proofErr w:type="spellEnd"/>
            <w:r>
              <w:t xml:space="preserve"> GPS-time </w:t>
            </w:r>
            <w:proofErr w:type="spellStart"/>
            <w:r>
              <w:t>clock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display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all </w:t>
            </w:r>
            <w:proofErr w:type="spellStart"/>
            <w:r>
              <w:t>interfaces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protectable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</w:t>
            </w:r>
            <w:proofErr w:type="spellStart"/>
            <w:r>
              <w:t>unauthorized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a </w:t>
            </w:r>
            <w:proofErr w:type="spellStart"/>
            <w:r>
              <w:t>password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theft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via Kensington lock.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variables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representable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>:</w:t>
            </w:r>
          </w:p>
          <w:p w:rsidR="00D26F59" w:rsidRDefault="00D26F59" w:rsidP="009F7D96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minimal, </w:t>
            </w:r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maximum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10 min </w:t>
            </w:r>
            <w:proofErr w:type="spellStart"/>
            <w:r>
              <w:t>interval</w:t>
            </w:r>
            <w:proofErr w:type="spellEnd"/>
          </w:p>
          <w:p w:rsidR="00D26F59" w:rsidRDefault="00D26F59" w:rsidP="009F7D96">
            <w:pPr>
              <w:pStyle w:val="Listenabsatz"/>
              <w:numPr>
                <w:ilvl w:val="1"/>
                <w:numId w:val="11"/>
              </w:numPr>
              <w:tabs>
                <w:tab w:val="left" w:pos="5739"/>
              </w:tabs>
            </w:pPr>
            <w:r>
              <w:t xml:space="preserve">Short-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 xml:space="preserve">-time </w:t>
            </w:r>
            <w:proofErr w:type="spellStart"/>
            <w:r>
              <w:t>flicker</w:t>
            </w:r>
            <w:proofErr w:type="spellEnd"/>
          </w:p>
          <w:p w:rsidR="00D26F59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proofErr w:type="spellStart"/>
            <w:r>
              <w:t>Recorded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represented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graphic</w:t>
            </w:r>
            <w:proofErr w:type="spellEnd"/>
            <w:r w:rsidR="00A0162E">
              <w:t>.</w:t>
            </w:r>
          </w:p>
          <w:p w:rsidR="00BF10C7" w:rsidRDefault="00D26F59" w:rsidP="00A0162E">
            <w:pPr>
              <w:pStyle w:val="Listenabsatz"/>
              <w:numPr>
                <w:ilvl w:val="0"/>
                <w:numId w:val="11"/>
              </w:numPr>
              <w:tabs>
                <w:tab w:val="left" w:pos="5739"/>
              </w:tabs>
            </w:pPr>
            <w:proofErr w:type="spellStart"/>
            <w:r>
              <w:t>Triggered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evaluable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>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oscilloscope</w:t>
            </w:r>
            <w:proofErr w:type="spellEnd"/>
            <w:r>
              <w:t xml:space="preserve"> </w:t>
            </w:r>
            <w:proofErr w:type="spellStart"/>
            <w:r>
              <w:t>curve</w:t>
            </w:r>
            <w:proofErr w:type="spellEnd"/>
            <w:r>
              <w:t xml:space="preserve"> </w:t>
            </w:r>
            <w:proofErr w:type="spellStart"/>
            <w:r>
              <w:t>depending</w:t>
            </w:r>
            <w:proofErr w:type="spellEnd"/>
            <w:r>
              <w:t xml:space="preserve"> on </w:t>
            </w: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parameterisations</w:t>
            </w:r>
            <w:proofErr w:type="spellEnd"/>
            <w:r>
              <w:t>.</w:t>
            </w:r>
          </w:p>
        </w:tc>
      </w:tr>
      <w:tr w:rsidR="00BF10C7" w:rsidTr="007C7F5F">
        <w:tc>
          <w:tcPr>
            <w:tcW w:w="1413" w:type="dxa"/>
            <w:vAlign w:val="center"/>
          </w:tcPr>
          <w:p w:rsidR="00BF10C7" w:rsidRDefault="008C025F" w:rsidP="00BF10C7">
            <w:pPr>
              <w:tabs>
                <w:tab w:val="left" w:pos="5739"/>
              </w:tabs>
              <w:jc w:val="center"/>
            </w:pPr>
            <w:r>
              <w:t>Pos. 3:</w:t>
            </w:r>
          </w:p>
          <w:p w:rsidR="008C025F" w:rsidRPr="008C025F" w:rsidRDefault="008C025F" w:rsidP="00BF10C7">
            <w:pPr>
              <w:tabs>
                <w:tab w:val="left" w:pos="5739"/>
              </w:tabs>
              <w:jc w:val="center"/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9043" w:type="dxa"/>
          </w:tcPr>
          <w:p w:rsidR="00D26F59" w:rsidRDefault="00D26F59" w:rsidP="00A0162E">
            <w:pPr>
              <w:pStyle w:val="Listenabsatz"/>
              <w:numPr>
                <w:ilvl w:val="0"/>
                <w:numId w:val="13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software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suitable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Windows 7, 8, 10 &amp; 11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enable</w:t>
            </w:r>
            <w:proofErr w:type="spellEnd"/>
            <w:r>
              <w:t xml:space="preserve"> </w:t>
            </w:r>
            <w:proofErr w:type="spellStart"/>
            <w:r>
              <w:t>graphical</w:t>
            </w:r>
            <w:proofErr w:type="spellEnd"/>
            <w:r>
              <w:t xml:space="preserve"> </w:t>
            </w:r>
            <w:proofErr w:type="spellStart"/>
            <w:r>
              <w:t>representation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prints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3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software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64-bit </w:t>
            </w:r>
            <w:proofErr w:type="spellStart"/>
            <w:r>
              <w:t>version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3"/>
              </w:numPr>
              <w:tabs>
                <w:tab w:val="left" w:pos="5739"/>
              </w:tabs>
            </w:pP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graphic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, zoom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cursor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. Reports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EN 50160; IEC 61000-2-2, IEC 61000-2-4 </w:t>
            </w:r>
            <w:proofErr w:type="spellStart"/>
            <w:r>
              <w:t>and</w:t>
            </w:r>
            <w:proofErr w:type="spellEnd"/>
            <w:r>
              <w:t xml:space="preserve"> NRS 048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generated</w:t>
            </w:r>
            <w:proofErr w:type="spellEnd"/>
            <w:r>
              <w:t xml:space="preserve"> </w:t>
            </w:r>
            <w:proofErr w:type="spellStart"/>
            <w:r>
              <w:t>automatically</w:t>
            </w:r>
            <w:proofErr w:type="spellEnd"/>
            <w:r>
              <w:t>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3"/>
              </w:numPr>
              <w:tabs>
                <w:tab w:val="left" w:pos="5739"/>
              </w:tabs>
            </w:pP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, </w:t>
            </w:r>
            <w:proofErr w:type="spellStart"/>
            <w:r>
              <w:t>spectral</w:t>
            </w:r>
            <w:proofErr w:type="spellEnd"/>
            <w:r>
              <w:t xml:space="preserve"> </w:t>
            </w:r>
            <w:proofErr w:type="spellStart"/>
            <w:r>
              <w:t>display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harmonics</w:t>
            </w:r>
            <w:proofErr w:type="spellEnd"/>
            <w:r>
              <w:t xml:space="preserve">, </w:t>
            </w:r>
            <w:proofErr w:type="spellStart"/>
            <w:r>
              <w:t>signal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diagrams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oscilloscope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analysed</w:t>
            </w:r>
            <w:proofErr w:type="spellEnd"/>
            <w:r>
              <w:t xml:space="preserve"> online.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3"/>
              </w:numPr>
              <w:tabs>
                <w:tab w:val="left" w:pos="5739"/>
              </w:tabs>
            </w:pPr>
            <w:r>
              <w:t xml:space="preserve">Data </w:t>
            </w:r>
            <w:proofErr w:type="spellStart"/>
            <w:r>
              <w:t>export</w:t>
            </w:r>
            <w:proofErr w:type="spellEnd"/>
            <w:r>
              <w:t xml:space="preserve"> </w:t>
            </w:r>
            <w:proofErr w:type="spellStart"/>
            <w:r>
              <w:t>format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Comtrade</w:t>
            </w:r>
            <w:proofErr w:type="spellEnd"/>
            <w:r>
              <w:t xml:space="preserve">, CSV </w:t>
            </w:r>
            <w:proofErr w:type="spellStart"/>
            <w:r>
              <w:t>and</w:t>
            </w:r>
            <w:proofErr w:type="spellEnd"/>
            <w:r>
              <w:t xml:space="preserve"> XML.</w:t>
            </w:r>
          </w:p>
          <w:p w:rsidR="00D26F59" w:rsidRDefault="00D26F59" w:rsidP="00A0162E">
            <w:pPr>
              <w:pStyle w:val="Listenabsatz"/>
              <w:numPr>
                <w:ilvl w:val="0"/>
                <w:numId w:val="13"/>
              </w:numPr>
              <w:tabs>
                <w:tab w:val="left" w:pos="5739"/>
              </w:tabs>
            </w:pPr>
            <w:r>
              <w:t xml:space="preserve">A </w:t>
            </w:r>
            <w:proofErr w:type="spellStart"/>
            <w:r>
              <w:t>description</w:t>
            </w:r>
            <w:proofErr w:type="spellEnd"/>
            <w:r>
              <w:t xml:space="preserve"> in English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attached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hard</w:t>
            </w:r>
            <w:proofErr w:type="spellEnd"/>
            <w:r>
              <w:t xml:space="preserve">-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software</w:t>
            </w:r>
            <w:proofErr w:type="spellEnd"/>
            <w:r>
              <w:t xml:space="preserve">. The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interface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analysing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software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in English.</w:t>
            </w:r>
          </w:p>
          <w:p w:rsidR="00BF10C7" w:rsidRDefault="00D26F59" w:rsidP="00A0162E">
            <w:pPr>
              <w:pStyle w:val="Listenabsatz"/>
              <w:numPr>
                <w:ilvl w:val="0"/>
                <w:numId w:val="13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software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all </w:t>
            </w:r>
            <w:proofErr w:type="spellStart"/>
            <w:r>
              <w:t>updates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free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licenses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dongle</w:t>
            </w:r>
            <w:proofErr w:type="spellEnd"/>
            <w:r>
              <w:t>.</w:t>
            </w:r>
          </w:p>
        </w:tc>
      </w:tr>
      <w:tr w:rsidR="00BF10C7" w:rsidTr="007C7F5F">
        <w:tc>
          <w:tcPr>
            <w:tcW w:w="1413" w:type="dxa"/>
            <w:vAlign w:val="center"/>
          </w:tcPr>
          <w:p w:rsidR="00BF10C7" w:rsidRDefault="008C025F" w:rsidP="00BF10C7">
            <w:pPr>
              <w:tabs>
                <w:tab w:val="left" w:pos="5739"/>
              </w:tabs>
              <w:jc w:val="center"/>
            </w:pPr>
            <w:r>
              <w:t>Pos. 4:</w:t>
            </w:r>
          </w:p>
          <w:p w:rsidR="008C025F" w:rsidRPr="008C025F" w:rsidRDefault="008C025F" w:rsidP="00BF10C7">
            <w:pPr>
              <w:tabs>
                <w:tab w:val="left" w:pos="5739"/>
              </w:tabs>
              <w:jc w:val="center"/>
              <w:rPr>
                <w:b/>
              </w:rPr>
            </w:pPr>
            <w:r w:rsidRPr="008C025F">
              <w:rPr>
                <w:b/>
              </w:rPr>
              <w:t>App</w:t>
            </w:r>
          </w:p>
        </w:tc>
        <w:tc>
          <w:tcPr>
            <w:tcW w:w="9043" w:type="dxa"/>
          </w:tcPr>
          <w:p w:rsidR="00BF10C7" w:rsidRDefault="000C1120" w:rsidP="009F7D96">
            <w:pPr>
              <w:tabs>
                <w:tab w:val="left" w:pos="5739"/>
              </w:tabs>
            </w:pPr>
            <w:proofErr w:type="spellStart"/>
            <w:r w:rsidRPr="000C1120">
              <w:t>For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the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network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analyzer</w:t>
            </w:r>
            <w:proofErr w:type="spellEnd"/>
            <w:r w:rsidRPr="000C1120">
              <w:t xml:space="preserve">, an </w:t>
            </w:r>
            <w:proofErr w:type="spellStart"/>
            <w:r w:rsidRPr="000C1120">
              <w:t>app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for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the</w:t>
            </w:r>
            <w:proofErr w:type="spellEnd"/>
            <w:r w:rsidRPr="000C1120">
              <w:t xml:space="preserve"> </w:t>
            </w:r>
            <w:r w:rsidR="009F7D96">
              <w:t>i</w:t>
            </w:r>
            <w:r w:rsidRPr="000C1120">
              <w:t xml:space="preserve">OS </w:t>
            </w:r>
            <w:proofErr w:type="spellStart"/>
            <w:r w:rsidRPr="000C1120">
              <w:t>and</w:t>
            </w:r>
            <w:proofErr w:type="spellEnd"/>
            <w:r w:rsidRPr="000C1120">
              <w:t xml:space="preserve"> Android </w:t>
            </w:r>
            <w:proofErr w:type="spellStart"/>
            <w:r w:rsidRPr="000C1120">
              <w:t>operating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systems</w:t>
            </w:r>
            <w:proofErr w:type="spellEnd"/>
            <w:r w:rsidRPr="000C1120">
              <w:t xml:space="preserve"> must </w:t>
            </w:r>
            <w:proofErr w:type="spellStart"/>
            <w:r w:rsidRPr="000C1120">
              <w:t>be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supplied</w:t>
            </w:r>
            <w:proofErr w:type="spellEnd"/>
            <w:r w:rsidRPr="000C1120">
              <w:t xml:space="preserve"> in parallel </w:t>
            </w:r>
            <w:proofErr w:type="spellStart"/>
            <w:r w:rsidRPr="000C1120">
              <w:t>to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the</w:t>
            </w:r>
            <w:proofErr w:type="spellEnd"/>
            <w:r w:rsidRPr="000C1120">
              <w:t xml:space="preserve"> Windows </w:t>
            </w:r>
            <w:proofErr w:type="spellStart"/>
            <w:r w:rsidRPr="000C1120">
              <w:t>software</w:t>
            </w:r>
            <w:proofErr w:type="spellEnd"/>
            <w:r w:rsidRPr="000C1120">
              <w:t xml:space="preserve">. Online </w:t>
            </w:r>
            <w:proofErr w:type="spellStart"/>
            <w:r w:rsidRPr="000C1120">
              <w:t>measurement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data</w:t>
            </w:r>
            <w:proofErr w:type="spellEnd"/>
            <w:r w:rsidRPr="000C1120">
              <w:t xml:space="preserve"> such </w:t>
            </w:r>
            <w:proofErr w:type="spellStart"/>
            <w:r w:rsidRPr="000C1120">
              <w:t>as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voltages</w:t>
            </w:r>
            <w:proofErr w:type="spellEnd"/>
            <w:r w:rsidRPr="000C1120">
              <w:t xml:space="preserve">, </w:t>
            </w:r>
            <w:proofErr w:type="spellStart"/>
            <w:r w:rsidRPr="000C1120">
              <w:t>currents</w:t>
            </w:r>
            <w:proofErr w:type="spellEnd"/>
            <w:r w:rsidRPr="000C1120">
              <w:t xml:space="preserve">, power, </w:t>
            </w:r>
            <w:proofErr w:type="spellStart"/>
            <w:r w:rsidRPr="000C1120">
              <w:t>energy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consumption</w:t>
            </w:r>
            <w:proofErr w:type="spellEnd"/>
            <w:r w:rsidRPr="000C1120">
              <w:t xml:space="preserve">, THD, </w:t>
            </w:r>
            <w:proofErr w:type="spellStart"/>
            <w:r w:rsidRPr="000C1120">
              <w:t>voltage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and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current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harmonics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as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well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as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information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about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the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number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of</w:t>
            </w:r>
            <w:proofErr w:type="spellEnd"/>
            <w:r w:rsidRPr="000C1120">
              <w:t xml:space="preserve"> PQ </w:t>
            </w:r>
            <w:proofErr w:type="spellStart"/>
            <w:r w:rsidRPr="000C1120">
              <w:t>events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and</w:t>
            </w:r>
            <w:proofErr w:type="spellEnd"/>
            <w:r w:rsidRPr="000C1120">
              <w:t xml:space="preserve"> fault </w:t>
            </w:r>
            <w:proofErr w:type="spellStart"/>
            <w:r w:rsidRPr="000C1120">
              <w:t>records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can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be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displayed</w:t>
            </w:r>
            <w:proofErr w:type="spellEnd"/>
            <w:r w:rsidRPr="000C1120">
              <w:t xml:space="preserve"> via </w:t>
            </w:r>
            <w:proofErr w:type="spellStart"/>
            <w:r w:rsidRPr="000C1120">
              <w:t>the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app</w:t>
            </w:r>
            <w:proofErr w:type="spellEnd"/>
            <w:r w:rsidRPr="000C1120">
              <w:t xml:space="preserve">. - Settings such </w:t>
            </w:r>
            <w:proofErr w:type="spellStart"/>
            <w:r w:rsidRPr="000C1120">
              <w:t>as</w:t>
            </w:r>
            <w:proofErr w:type="spellEnd"/>
            <w:r w:rsidRPr="000C1120">
              <w:t xml:space="preserve"> nominal </w:t>
            </w:r>
            <w:proofErr w:type="spellStart"/>
            <w:r w:rsidRPr="000C1120">
              <w:t>voltage</w:t>
            </w:r>
            <w:proofErr w:type="spellEnd"/>
            <w:r w:rsidRPr="000C1120">
              <w:t xml:space="preserve">, </w:t>
            </w:r>
            <w:proofErr w:type="spellStart"/>
            <w:r w:rsidRPr="000C1120">
              <w:t>converter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factors</w:t>
            </w:r>
            <w:proofErr w:type="spellEnd"/>
            <w:r w:rsidRPr="000C1120">
              <w:t xml:space="preserve">, </w:t>
            </w:r>
            <w:proofErr w:type="spellStart"/>
            <w:r w:rsidRPr="000C1120">
              <w:t>measuring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interval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can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be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changed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directly</w:t>
            </w:r>
            <w:proofErr w:type="spellEnd"/>
            <w:r w:rsidRPr="000C1120">
              <w:t xml:space="preserve"> via </w:t>
            </w:r>
            <w:proofErr w:type="spellStart"/>
            <w:r w:rsidRPr="000C1120">
              <w:t>the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app</w:t>
            </w:r>
            <w:proofErr w:type="spellEnd"/>
            <w:r w:rsidRPr="000C1120">
              <w:t>.</w:t>
            </w:r>
          </w:p>
        </w:tc>
      </w:tr>
      <w:tr w:rsidR="00BF10C7" w:rsidTr="009F7D96">
        <w:trPr>
          <w:trHeight w:val="549"/>
        </w:trPr>
        <w:tc>
          <w:tcPr>
            <w:tcW w:w="1413" w:type="dxa"/>
            <w:vAlign w:val="center"/>
          </w:tcPr>
          <w:p w:rsidR="00BF10C7" w:rsidRDefault="008C025F" w:rsidP="00BF10C7">
            <w:pPr>
              <w:tabs>
                <w:tab w:val="left" w:pos="5739"/>
              </w:tabs>
              <w:jc w:val="center"/>
            </w:pPr>
            <w:r>
              <w:lastRenderedPageBreak/>
              <w:t>Pos. 5:</w:t>
            </w:r>
          </w:p>
          <w:p w:rsidR="008C025F" w:rsidRPr="008C025F" w:rsidRDefault="008C025F" w:rsidP="00BF10C7">
            <w:pPr>
              <w:tabs>
                <w:tab w:val="left" w:pos="5739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WinPQ</w:t>
            </w:r>
            <w:proofErr w:type="spellEnd"/>
            <w:r>
              <w:rPr>
                <w:b/>
              </w:rPr>
              <w:t xml:space="preserve"> Database</w:t>
            </w:r>
          </w:p>
        </w:tc>
        <w:tc>
          <w:tcPr>
            <w:tcW w:w="9043" w:type="dxa"/>
          </w:tcPr>
          <w:p w:rsidR="00BF10C7" w:rsidRDefault="000C1120" w:rsidP="000C1120">
            <w:bookmarkStart w:id="0" w:name="_GoBack"/>
            <w:r>
              <w:t>D</w:t>
            </w:r>
            <w:r w:rsidRPr="000C1120">
              <w:t xml:space="preserve">ata </w:t>
            </w:r>
            <w:proofErr w:type="spellStart"/>
            <w:r w:rsidRPr="000C1120">
              <w:t>import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into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the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existing</w:t>
            </w:r>
            <w:proofErr w:type="spellEnd"/>
            <w:r w:rsidRPr="000C1120">
              <w:t xml:space="preserve"> PQ </w:t>
            </w:r>
            <w:proofErr w:type="spellStart"/>
            <w:r w:rsidRPr="000C1120">
              <w:t>database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from</w:t>
            </w:r>
            <w:proofErr w:type="spellEnd"/>
            <w:r w:rsidRPr="000C1120">
              <w:t xml:space="preserve"> A. Eberle. All </w:t>
            </w:r>
            <w:proofErr w:type="spellStart"/>
            <w:r w:rsidRPr="000C1120">
              <w:t>measurement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data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from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the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network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analyzer</w:t>
            </w:r>
            <w:proofErr w:type="spellEnd"/>
            <w:r w:rsidRPr="000C1120">
              <w:t xml:space="preserve"> must </w:t>
            </w:r>
            <w:proofErr w:type="spellStart"/>
            <w:r w:rsidRPr="000C1120">
              <w:t>be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able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to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be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imported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into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the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already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existing</w:t>
            </w:r>
            <w:proofErr w:type="spellEnd"/>
            <w:r w:rsidRPr="000C1120">
              <w:t xml:space="preserve"> PQ </w:t>
            </w:r>
            <w:proofErr w:type="spellStart"/>
            <w:r w:rsidRPr="000C1120">
              <w:t>database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for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permanently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installed</w:t>
            </w:r>
            <w:proofErr w:type="spellEnd"/>
            <w:r w:rsidRPr="000C1120">
              <w:t xml:space="preserve"> PQ </w:t>
            </w:r>
            <w:proofErr w:type="spellStart"/>
            <w:r w:rsidRPr="000C1120">
              <w:t>measuring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devices</w:t>
            </w:r>
            <w:proofErr w:type="spellEnd"/>
            <w:r w:rsidRPr="000C1120">
              <w:t xml:space="preserve"> </w:t>
            </w:r>
            <w:proofErr w:type="spellStart"/>
            <w:r w:rsidRPr="000C1120">
              <w:t>from</w:t>
            </w:r>
            <w:proofErr w:type="spellEnd"/>
            <w:r w:rsidRPr="000C1120">
              <w:t xml:space="preserve"> A. </w:t>
            </w:r>
            <w:r>
              <w:t xml:space="preserve">Eberle via an </w:t>
            </w:r>
            <w:proofErr w:type="spellStart"/>
            <w:r>
              <w:t>export</w:t>
            </w:r>
            <w:proofErr w:type="spellEnd"/>
            <w:r>
              <w:t xml:space="preserve"> </w:t>
            </w:r>
            <w:proofErr w:type="spellStart"/>
            <w:r>
              <w:t>interface</w:t>
            </w:r>
            <w:proofErr w:type="spellEnd"/>
            <w:r>
              <w:t>.</w:t>
            </w:r>
            <w:bookmarkEnd w:id="0"/>
          </w:p>
        </w:tc>
      </w:tr>
    </w:tbl>
    <w:p w:rsidR="00BF10C7" w:rsidRPr="00BF10C7" w:rsidRDefault="00BF10C7" w:rsidP="007C7F5F">
      <w:pPr>
        <w:tabs>
          <w:tab w:val="left" w:pos="5739"/>
        </w:tabs>
      </w:pPr>
    </w:p>
    <w:sectPr w:rsidR="00BF10C7" w:rsidRPr="00BF10C7" w:rsidSect="00BF10C7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C7" w:rsidRDefault="00BF10C7" w:rsidP="00BF10C7">
      <w:pPr>
        <w:spacing w:after="0" w:line="240" w:lineRule="auto"/>
      </w:pPr>
      <w:r>
        <w:separator/>
      </w:r>
    </w:p>
  </w:endnote>
  <w:endnote w:type="continuationSeparator" w:id="0">
    <w:p w:rsidR="00BF10C7" w:rsidRDefault="00BF10C7" w:rsidP="00BF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498525"/>
      <w:docPartObj>
        <w:docPartGallery w:val="Page Numbers (Bottom of Page)"/>
        <w:docPartUnique/>
      </w:docPartObj>
    </w:sdtPr>
    <w:sdtEndPr/>
    <w:sdtContent>
      <w:p w:rsidR="00BF10C7" w:rsidRDefault="00BF10C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D96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C7" w:rsidRDefault="00BF10C7" w:rsidP="00BF10C7">
    <w:pPr>
      <w:pStyle w:val="Fuzeile"/>
      <w:jc w:val="center"/>
    </w:pPr>
    <w:r w:rsidRPr="00BF10C7">
      <w:t xml:space="preserve">A. Eberle GmbH &amp; Co. KG </w:t>
    </w:r>
    <w:r w:rsidRPr="00BF10C7">
      <w:rPr>
        <w:rFonts w:cs="Calibri"/>
        <w:color w:val="F28A00"/>
      </w:rPr>
      <w:t>•</w:t>
    </w:r>
    <w:r w:rsidRPr="00BF10C7">
      <w:t xml:space="preserve"> Frankenstraße 160 </w:t>
    </w:r>
    <w:r w:rsidRPr="00BF10C7">
      <w:rPr>
        <w:rFonts w:cs="Calibri"/>
        <w:color w:val="F28A00"/>
      </w:rPr>
      <w:t>•</w:t>
    </w:r>
    <w:r w:rsidRPr="00BF10C7">
      <w:rPr>
        <w:rFonts w:cs="Calibri"/>
      </w:rPr>
      <w:t xml:space="preserve"> 90461 Nürnberg </w:t>
    </w:r>
    <w:r w:rsidRPr="00BF10C7">
      <w:rPr>
        <w:rFonts w:cs="Calibri"/>
        <w:color w:val="F28A00"/>
      </w:rPr>
      <w:t>•</w:t>
    </w:r>
    <w:r w:rsidRPr="00BF10C7">
      <w:rPr>
        <w:rFonts w:cs="Calibri"/>
      </w:rPr>
      <w:t xml:space="preserve"> info@a-eberle.de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C7" w:rsidRDefault="00BF10C7" w:rsidP="00BF10C7">
      <w:pPr>
        <w:spacing w:after="0" w:line="240" w:lineRule="auto"/>
      </w:pPr>
      <w:r>
        <w:separator/>
      </w:r>
    </w:p>
  </w:footnote>
  <w:footnote w:type="continuationSeparator" w:id="0">
    <w:p w:rsidR="00BF10C7" w:rsidRDefault="00BF10C7" w:rsidP="00BF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8"/>
      <w:gridCol w:w="5228"/>
    </w:tblGrid>
    <w:tr w:rsidR="00BF10C7" w:rsidTr="00A529C2">
      <w:tc>
        <w:tcPr>
          <w:tcW w:w="5228" w:type="dxa"/>
          <w:vAlign w:val="bottom"/>
        </w:tcPr>
        <w:p w:rsidR="00BF10C7" w:rsidRPr="006F0C80" w:rsidRDefault="00BF10C7" w:rsidP="007C7F5F">
          <w:pPr>
            <w:pStyle w:val="Kopfzeile"/>
            <w:rPr>
              <w:color w:val="97999B"/>
            </w:rPr>
          </w:pPr>
          <w:proofErr w:type="spellStart"/>
          <w:r w:rsidRPr="006F0C80">
            <w:rPr>
              <w:color w:val="97999B"/>
            </w:rPr>
            <w:t>W</w:t>
          </w:r>
          <w:r w:rsidR="007C7F5F">
            <w:rPr>
              <w:color w:val="97999B"/>
            </w:rPr>
            <w:t>e</w:t>
          </w:r>
          <w:proofErr w:type="spellEnd"/>
          <w:r w:rsidR="007C7F5F">
            <w:rPr>
              <w:color w:val="97999B"/>
            </w:rPr>
            <w:t xml:space="preserve"> </w:t>
          </w:r>
          <w:proofErr w:type="spellStart"/>
          <w:r w:rsidR="007C7F5F">
            <w:rPr>
              <w:color w:val="97999B"/>
            </w:rPr>
            <w:t>take</w:t>
          </w:r>
          <w:proofErr w:type="spellEnd"/>
          <w:r w:rsidR="007C7F5F">
            <w:rPr>
              <w:color w:val="97999B"/>
            </w:rPr>
            <w:t xml:space="preserve"> care </w:t>
          </w:r>
          <w:proofErr w:type="spellStart"/>
          <w:r w:rsidR="007C7F5F">
            <w:rPr>
              <w:color w:val="97999B"/>
            </w:rPr>
            <w:t>of</w:t>
          </w:r>
          <w:proofErr w:type="spellEnd"/>
          <w:r w:rsidR="007C7F5F">
            <w:rPr>
              <w:color w:val="97999B"/>
            </w:rPr>
            <w:t xml:space="preserve"> it.</w:t>
          </w:r>
        </w:p>
      </w:tc>
      <w:tc>
        <w:tcPr>
          <w:tcW w:w="5228" w:type="dxa"/>
        </w:tcPr>
        <w:p w:rsidR="00BF10C7" w:rsidRDefault="00BF10C7" w:rsidP="00BF10C7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64A77273" wp14:editId="06DEA010">
                <wp:extent cx="1336088" cy="432000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ort_mit_Bildmarke_3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88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F10C7" w:rsidRDefault="00BF10C7" w:rsidP="00BF10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6428"/>
    <w:multiLevelType w:val="multilevel"/>
    <w:tmpl w:val="0F2C4AE6"/>
    <w:numStyleLink w:val="Formatvorlage1"/>
  </w:abstractNum>
  <w:abstractNum w:abstractNumId="1" w15:restartNumberingAfterBreak="0">
    <w:nsid w:val="276B62D9"/>
    <w:multiLevelType w:val="multilevel"/>
    <w:tmpl w:val="0F2C4AE6"/>
    <w:numStyleLink w:val="Formatvorlage1"/>
  </w:abstractNum>
  <w:abstractNum w:abstractNumId="2" w15:restartNumberingAfterBreak="0">
    <w:nsid w:val="33516CE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1B35B4"/>
    <w:multiLevelType w:val="multilevel"/>
    <w:tmpl w:val="0F2C4AE6"/>
    <w:styleLink w:val="Formatvorlage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28A00"/>
      </w:rPr>
    </w:lvl>
    <w:lvl w:ilvl="1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3688"/>
    <w:multiLevelType w:val="hybridMultilevel"/>
    <w:tmpl w:val="2E722C9C"/>
    <w:lvl w:ilvl="0" w:tplc="644C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8A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456DB"/>
    <w:multiLevelType w:val="multilevel"/>
    <w:tmpl w:val="0F2C4AE6"/>
    <w:numStyleLink w:val="Formatvorlage1"/>
  </w:abstractNum>
  <w:abstractNum w:abstractNumId="6" w15:restartNumberingAfterBreak="0">
    <w:nsid w:val="4E555E28"/>
    <w:multiLevelType w:val="multilevel"/>
    <w:tmpl w:val="0F2C4AE6"/>
    <w:numStyleLink w:val="Formatvorlage1"/>
  </w:abstractNum>
  <w:abstractNum w:abstractNumId="7" w15:restartNumberingAfterBreak="0">
    <w:nsid w:val="55B84011"/>
    <w:multiLevelType w:val="hybridMultilevel"/>
    <w:tmpl w:val="93A0F730"/>
    <w:lvl w:ilvl="0" w:tplc="3BACA94E">
      <w:start w:val="1"/>
      <w:numFmt w:val="lowerLetter"/>
      <w:lvlText w:val="%1.)"/>
      <w:lvlJc w:val="left"/>
      <w:pPr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F631276"/>
    <w:multiLevelType w:val="multilevel"/>
    <w:tmpl w:val="0F2C4AE6"/>
    <w:numStyleLink w:val="Formatvorlage1"/>
  </w:abstractNum>
  <w:abstractNum w:abstractNumId="9" w15:restartNumberingAfterBreak="0">
    <w:nsid w:val="65EC5D1E"/>
    <w:multiLevelType w:val="multilevel"/>
    <w:tmpl w:val="0F2C4AE6"/>
    <w:numStyleLink w:val="Formatvorlage1"/>
  </w:abstractNum>
  <w:abstractNum w:abstractNumId="10" w15:restartNumberingAfterBreak="0">
    <w:nsid w:val="7597044B"/>
    <w:multiLevelType w:val="multilevel"/>
    <w:tmpl w:val="0F2C4AE6"/>
    <w:numStyleLink w:val="Formatvorlage1"/>
  </w:abstractNum>
  <w:abstractNum w:abstractNumId="11" w15:restartNumberingAfterBreak="0">
    <w:nsid w:val="7A4D3396"/>
    <w:multiLevelType w:val="multilevel"/>
    <w:tmpl w:val="0F2C4AE6"/>
    <w:numStyleLink w:val="Formatvorlage1"/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9"/>
    <w:lvlOverride w:ilvl="0">
      <w:lvl w:ilvl="0">
        <w:start w:val="1"/>
        <w:numFmt w:val="bullet"/>
        <w:lvlText w:val=""/>
        <w:lvlJc w:val="left"/>
        <w:pPr>
          <w:ind w:left="510" w:hanging="340"/>
        </w:pPr>
        <w:rPr>
          <w:rFonts w:ascii="Symbol" w:hAnsi="Symbol" w:hint="default"/>
          <w:color w:val="F28A00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C7"/>
    <w:rsid w:val="00055961"/>
    <w:rsid w:val="000853A2"/>
    <w:rsid w:val="000C1120"/>
    <w:rsid w:val="003F6AD7"/>
    <w:rsid w:val="007C7F5F"/>
    <w:rsid w:val="007E1CFC"/>
    <w:rsid w:val="008C025F"/>
    <w:rsid w:val="009F7D96"/>
    <w:rsid w:val="00A0162E"/>
    <w:rsid w:val="00AF078A"/>
    <w:rsid w:val="00B40933"/>
    <w:rsid w:val="00BF10C7"/>
    <w:rsid w:val="00CE49A8"/>
    <w:rsid w:val="00D26F59"/>
    <w:rsid w:val="00D9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032EC4"/>
  <w15:chartTrackingRefBased/>
  <w15:docId w15:val="{1C4EE90C-07E7-409F-A1A7-69B3CA1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10C7"/>
  </w:style>
  <w:style w:type="paragraph" w:styleId="Fuzeile">
    <w:name w:val="footer"/>
    <w:basedOn w:val="Standard"/>
    <w:link w:val="FuzeileZchn"/>
    <w:uiPriority w:val="99"/>
    <w:unhideWhenUsed/>
    <w:rsid w:val="00BF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10C7"/>
  </w:style>
  <w:style w:type="table" w:styleId="Tabellenraster">
    <w:name w:val="Table Grid"/>
    <w:basedOn w:val="NormaleTabelle"/>
    <w:uiPriority w:val="39"/>
    <w:rsid w:val="00BF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10C7"/>
    <w:pPr>
      <w:ind w:left="720"/>
      <w:contextualSpacing/>
    </w:pPr>
  </w:style>
  <w:style w:type="numbering" w:customStyle="1" w:styleId="Formatvorlage1">
    <w:name w:val="Formatvorlage1"/>
    <w:uiPriority w:val="99"/>
    <w:rsid w:val="008C025F"/>
    <w:pPr>
      <w:numPr>
        <w:numId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Prgomet, Filip</dc:creator>
  <cp:keywords/>
  <dc:description/>
  <cp:lastModifiedBy>Prgomet, Filip</cp:lastModifiedBy>
  <cp:revision>9</cp:revision>
  <cp:lastPrinted>2022-05-18T09:42:00Z</cp:lastPrinted>
  <dcterms:created xsi:type="dcterms:W3CDTF">2022-05-18T11:57:00Z</dcterms:created>
  <dcterms:modified xsi:type="dcterms:W3CDTF">2022-05-23T14:49:00Z</dcterms:modified>
</cp:coreProperties>
</file>